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23,</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get insights into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artefact measurements. Our main question is: What was the dominant mode of cultural transmission for technological innovation in the Korean Late Paleolithic? We also ask: Did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Dunnell, 1980; Eerkens and Bettinger, 2008; Lipo et al., 1997; Mesoudi and O’Brien, 2008;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artefacts,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Transmission of the artefact shape as a package seems unlikley.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0.007</w:t>
            </w:r>
          </w:p>
        </w:tc>
        <w:tc>
          <w:tcPr/>
          <w:p>
            <w:pPr>
              <w:pStyle w:val="Compact"/>
              <w:jc w:val="right"/>
            </w:pPr>
            <w:r>
              <w:t xml:space="preserve">0.935</w:t>
            </w:r>
          </w:p>
        </w:tc>
      </w:tr>
      <w:tr>
        <w:tc>
          <w:tcPr/>
          <w:p>
            <w:pPr>
              <w:pStyle w:val="Compact"/>
              <w:jc w:val="left"/>
            </w:pPr>
            <w:r>
              <w:t xml:space="preserve">SW</w:t>
            </w:r>
          </w:p>
        </w:tc>
        <w:tc>
          <w:tcPr/>
          <w:p>
            <w:pPr>
              <w:pStyle w:val="Compact"/>
              <w:jc w:val="right"/>
            </w:pPr>
            <w:r>
              <w:t xml:space="preserve">0.011</w:t>
            </w:r>
          </w:p>
        </w:tc>
        <w:tc>
          <w:tcPr/>
          <w:p>
            <w:pPr>
              <w:pStyle w:val="Compact"/>
              <w:jc w:val="right"/>
            </w:pPr>
            <w:r>
              <w:t xml:space="preserve">0.917</w:t>
            </w:r>
          </w:p>
        </w:tc>
      </w:tr>
      <w:tr>
        <w:tc>
          <w:tcPr/>
          <w:p>
            <w:pPr>
              <w:pStyle w:val="Compact"/>
              <w:jc w:val="left"/>
            </w:pPr>
            <w:r>
              <w:t xml:space="preserve">BL</w:t>
            </w:r>
          </w:p>
        </w:tc>
        <w:tc>
          <w:tcPr/>
          <w:p>
            <w:pPr>
              <w:pStyle w:val="Compact"/>
              <w:jc w:val="right"/>
            </w:pPr>
            <w:r>
              <w:t xml:space="preserve">0.356</w:t>
            </w:r>
          </w:p>
        </w:tc>
        <w:tc>
          <w:tcPr/>
          <w:p>
            <w:pPr>
              <w:pStyle w:val="Compact"/>
              <w:jc w:val="right"/>
            </w:pPr>
            <w:r>
              <w:t xml:space="preserve">0.551</w:t>
            </w:r>
          </w:p>
        </w:tc>
      </w:tr>
      <w:tr>
        <w:tc>
          <w:tcPr/>
          <w:p>
            <w:pPr>
              <w:pStyle w:val="Compact"/>
              <w:jc w:val="left"/>
            </w:pPr>
            <w:r>
              <w:t xml:space="preserve">ML</w:t>
            </w:r>
          </w:p>
        </w:tc>
        <w:tc>
          <w:tcPr/>
          <w:p>
            <w:pPr>
              <w:pStyle w:val="Compact"/>
              <w:jc w:val="right"/>
            </w:pPr>
            <w:r>
              <w:t xml:space="preserve">0.416</w:t>
            </w:r>
          </w:p>
        </w:tc>
        <w:tc>
          <w:tcPr/>
          <w:p>
            <w:pPr>
              <w:pStyle w:val="Compact"/>
              <w:jc w:val="right"/>
            </w:pPr>
            <w:r>
              <w:t xml:space="preserve">0.519</w:t>
            </w:r>
          </w:p>
        </w:tc>
      </w:tr>
      <w:tr>
        <w:tc>
          <w:tcPr/>
          <w:p>
            <w:pPr>
              <w:pStyle w:val="Compact"/>
              <w:jc w:val="left"/>
            </w:pPr>
            <w:r>
              <w:t xml:space="preserve">SL</w:t>
            </w:r>
          </w:p>
        </w:tc>
        <w:tc>
          <w:tcPr/>
          <w:p>
            <w:pPr>
              <w:pStyle w:val="Compact"/>
              <w:jc w:val="right"/>
            </w:pPr>
            <w:r>
              <w:t xml:space="preserve">0.460</w:t>
            </w:r>
          </w:p>
        </w:tc>
        <w:tc>
          <w:tcPr/>
          <w:p>
            <w:pPr>
              <w:pStyle w:val="Compact"/>
              <w:jc w:val="right"/>
            </w:pPr>
            <w:r>
              <w:t xml:space="preserve">0.497</w:t>
            </w:r>
          </w:p>
        </w:tc>
      </w:tr>
      <w:tr>
        <w:tc>
          <w:tcPr/>
          <w:p>
            <w:pPr>
              <w:pStyle w:val="Compact"/>
              <w:jc w:val="left"/>
            </w:pPr>
            <w:r>
              <w:t xml:space="preserve">TW</w:t>
            </w:r>
          </w:p>
        </w:tc>
        <w:tc>
          <w:tcPr/>
          <w:p>
            <w:pPr>
              <w:pStyle w:val="Compact"/>
              <w:jc w:val="right"/>
            </w:pPr>
            <w:r>
              <w:t xml:space="preserve">0.728</w:t>
            </w:r>
          </w:p>
        </w:tc>
        <w:tc>
          <w:tcPr/>
          <w:p>
            <w:pPr>
              <w:pStyle w:val="Compact"/>
              <w:jc w:val="right"/>
            </w:pPr>
            <w:r>
              <w:t xml:space="preserve">0.393</w:t>
            </w:r>
          </w:p>
        </w:tc>
      </w:tr>
      <w:tr>
        <w:tc>
          <w:tcPr/>
          <w:p>
            <w:pPr>
              <w:pStyle w:val="Compact"/>
              <w:jc w:val="left"/>
            </w:pPr>
            <w:r>
              <w:t xml:space="preserve">MW</w:t>
            </w:r>
          </w:p>
        </w:tc>
        <w:tc>
          <w:tcPr/>
          <w:p>
            <w:pPr>
              <w:pStyle w:val="Compact"/>
              <w:jc w:val="right"/>
            </w:pPr>
            <w:r>
              <w:t xml:space="preserve">0.782</w:t>
            </w:r>
          </w:p>
        </w:tc>
        <w:tc>
          <w:tcPr/>
          <w:p>
            <w:pPr>
              <w:pStyle w:val="Compact"/>
              <w:jc w:val="right"/>
            </w:pPr>
            <w:r>
              <w:t xml:space="preserve">0.377</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Artefact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This hints at the possibility that the physical properties of the stone artifact raw materials were a key mechanism in determining shape and size variability. Further analysis of raw material properties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found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exclusive cultural transmission biases in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78" w:name="references"/>
    <w:p>
      <w:pPr>
        <w:pStyle w:val="Heading1"/>
      </w:pPr>
      <w:r>
        <w:t xml:space="preserve">References</w:t>
      </w:r>
    </w:p>
    <w:bookmarkStart w:id="176"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urto2009coefficient"/>
    <w:p>
      <w:pPr>
        <w:pStyle w:val="Bibliography"/>
      </w:pPr>
      <w:r>
        <w:t xml:space="preserve">Curto, J.D., Pinto, J.C., 2009. The coefficient of variation asymptotic distribution in the case of non-iid random variables. Journal of Applied Statistics 36, 21–32.</w:t>
      </w:r>
    </w:p>
    <w:bookmarkEnd w:id="107"/>
    <w:bookmarkStart w:id="108" w:name="ref-dunnell1980evolutionary"/>
    <w:p>
      <w:pPr>
        <w:pStyle w:val="Bibliography"/>
      </w:pPr>
      <w:r>
        <w:t xml:space="preserve">Dunnell, R.C., 1980. Evolutionary theory and archaeology, in: Advances in Archaeological Method and Theory. Elsevier, pp. 35–99.</w:t>
      </w:r>
    </w:p>
    <w:bookmarkEnd w:id="108"/>
    <w:bookmarkStart w:id="109" w:name="ref-eerkens2000practice"/>
    <w:p>
      <w:pPr>
        <w:pStyle w:val="Bibliography"/>
      </w:pPr>
      <w:r>
        <w:t xml:space="preserve">Eerkens, J.W., 2000. Practice makes within 5% of perfect: Visual perception, motor skills, and memory in artifact variation. Current Anthropology 41, 663–668.</w:t>
      </w:r>
    </w:p>
    <w:bookmarkEnd w:id="109"/>
    <w:bookmarkStart w:id="110" w:name="ref-eerkens2008cultural"/>
    <w:p>
      <w:pPr>
        <w:pStyle w:val="Bibliography"/>
      </w:pPr>
      <w:r>
        <w:t xml:space="preserve">Eerkens, J.W., Bettinger, R.L., 2008. Cultural transmission and the analysis of stylistic and functional variation. Transmission and Archaeology: Issues and Case-Studies 21–38.</w:t>
      </w:r>
    </w:p>
    <w:bookmarkEnd w:id="110"/>
    <w:bookmarkStart w:id="111" w:name="ref-eerkens2001techniques"/>
    <w:p>
      <w:pPr>
        <w:pStyle w:val="Bibliography"/>
      </w:pPr>
      <w:r>
        <w:t xml:space="preserve">Eerkens, J.W., Bettinger, R.L., 2001. Techniques for assessing standardization in artifact assemblages: Can we scale material variability? American Antiquity 493–504.</w:t>
      </w:r>
    </w:p>
    <w:bookmarkEnd w:id="111"/>
    <w:bookmarkStart w:id="112"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2"/>
    <w:bookmarkStart w:id="113"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3"/>
    <w:bookmarkStart w:id="114" w:name="ref-fitzhugh2001risk"/>
    <w:p>
      <w:pPr>
        <w:pStyle w:val="Bibliography"/>
      </w:pPr>
      <w:r>
        <w:t xml:space="preserve">Fitzhugh, B., 2001. Risk and invention in human technological evolution. Journal of Anthropological archaeology 20, 125–167.</w:t>
      </w:r>
    </w:p>
    <w:bookmarkEnd w:id="114"/>
    <w:bookmarkStart w:id="115" w:name="ref-fitzhugh2011modeling"/>
    <w:p>
      <w:pPr>
        <w:pStyle w:val="Bibliography"/>
      </w:pPr>
      <w:r>
        <w:t xml:space="preserve">Fitzhugh, B., Phillips, S.C., Gjesfjeld, E., 2011. Modeling hunter-gatherer information networks: An archaeological case study from the kuril islands 85–115.</w:t>
      </w:r>
    </w:p>
    <w:bookmarkEnd w:id="115"/>
    <w:bookmarkStart w:id="116"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6"/>
    <w:bookmarkStart w:id="117"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7"/>
    <w:bookmarkStart w:id="118" w:name="ref-heyes1994social"/>
    <w:p>
      <w:pPr>
        <w:pStyle w:val="Bibliography"/>
      </w:pPr>
      <w:r>
        <w:t xml:space="preserve">Heyes, C.M., 1994. Social learning in animals: Categories and mechanisms. Biological Reviews 69, 207–231.</w:t>
      </w:r>
    </w:p>
    <w:bookmarkEnd w:id="118"/>
    <w:bookmarkStart w:id="119" w:name="ref-kelley2007sample"/>
    <w:p>
      <w:pPr>
        <w:pStyle w:val="Bibliography"/>
      </w:pPr>
      <w:r>
        <w:t xml:space="preserve">Kelley, K., 2007. Sample size planning for the coefficient of variation from the accuracy in parameter estimation approach. Behavior Research Methods 39, 755–766.</w:t>
      </w:r>
    </w:p>
    <w:bookmarkEnd w:id="119"/>
    <w:bookmarkStart w:id="120" w:name="ref-kendal2018social"/>
    <w:p>
      <w:pPr>
        <w:pStyle w:val="Bibliography"/>
      </w:pPr>
      <w:r>
        <w:t xml:space="preserve">Kendal, R.L., Boogert, N.J., Rendell, L., Laland, K.N., Webster, M., Jones, P.L., 2018. Social learning strategies: Bridge-building between fields. Trends in cognitive sciences 22, 651–665.</w:t>
      </w:r>
    </w:p>
    <w:bookmarkEnd w:id="120"/>
    <w:bookmarkStart w:id="12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1"/>
    <w:bookmarkStart w:id="122" w:name="ref-koopmans1964confidence"/>
    <w:p>
      <w:pPr>
        <w:pStyle w:val="Bibliography"/>
      </w:pPr>
      <w:r>
        <w:t xml:space="preserve">Koopmans, L.H., Owen, D.B., Rosenblatt, J.I., 1964. Confidence intervals for the coefficient of variation for the normal and log normal distributions. Biometrika 51, 25–32.</w:t>
      </w:r>
    </w:p>
    <w:bookmarkEnd w:id="122"/>
    <w:bookmarkStart w:id="123" w:name="ref-krishnamoorthy2014improved"/>
    <w:p>
      <w:pPr>
        <w:pStyle w:val="Bibliography"/>
      </w:pPr>
      <w:r>
        <w:t xml:space="preserve">Krishnamoorthy, K., Lee, M., 2014. Improved tests for the equality of normal coefficients of variation. Computational statistics 29, 215–232.</w:t>
      </w:r>
    </w:p>
    <w:bookmarkEnd w:id="123"/>
    <w:bookmarkStart w:id="124" w:name="ref-kvamme1996alternative"/>
    <w:p>
      <w:pPr>
        <w:pStyle w:val="Bibliography"/>
      </w:pPr>
      <w:r>
        <w:t xml:space="preserve">Kvamme, K.L., Stark, M.T., Longacre, W.A., 1996. Alternative procedures for assessing standardization in ceramic assemblages. American Antiquity 61, 116–126.</w:t>
      </w:r>
    </w:p>
    <w:bookmarkEnd w:id="124"/>
    <w:bookmarkStart w:id="12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5"/>
    <w:bookmarkStart w:id="126" w:name="ref-lee2013current"/>
    <w:p>
      <w:pPr>
        <w:pStyle w:val="Bibliography"/>
      </w:pPr>
      <w:r>
        <w:t xml:space="preserve">Lee, H.W., 2013. Current observations of the early late paleolithic in korea. Quaternary International 316, 45–58.</w:t>
      </w:r>
    </w:p>
    <w:bookmarkEnd w:id="126"/>
    <w:bookmarkStart w:id="127" w:name="ref-lipo1997population"/>
    <w:p>
      <w:pPr>
        <w:pStyle w:val="Bibliography"/>
      </w:pPr>
      <w:r>
        <w:t xml:space="preserve">Lipo, C.P., Madsen, M.E., Dunnell, R.C., Hunt, T., 1997. Population structure, cultural transmission, and frequency seriation. Journal of Anthropological Archaeology 16, 301–333.</w:t>
      </w:r>
    </w:p>
    <w:bookmarkEnd w:id="127"/>
    <w:bookmarkStart w:id="128" w:name="ref-lycett2015cultural"/>
    <w:p>
      <w:pPr>
        <w:pStyle w:val="Bibliography"/>
      </w:pPr>
      <w:r>
        <w:t xml:space="preserve">Lycett, S.J., 2015. Cultural evolutionary approaches to artifact variation over time and space: Basis, progress, and prospects. Journal of Archaeological Science 56, 21–31.</w:t>
      </w:r>
    </w:p>
    <w:bookmarkEnd w:id="128"/>
    <w:bookmarkStart w:id="129" w:name="ref-macleod2018quantitative"/>
    <w:p>
      <w:pPr>
        <w:pStyle w:val="Bibliography"/>
      </w:pPr>
      <w:r>
        <w:t xml:space="preserve">MacLeod, N., 2018. The quantitative assessment of archaeological artifact groups: Beyond geometric morphometrics. Quaternary Science Reviews 201, 319–348.</w:t>
      </w:r>
    </w:p>
    <w:bookmarkEnd w:id="129"/>
    <w:bookmarkStart w:id="130" w:name="ref-mahmoudvand2009two"/>
    <w:p>
      <w:pPr>
        <w:pStyle w:val="Bibliography"/>
      </w:pPr>
      <w:r>
        <w:t xml:space="preserve">Mahmoudvand, R., Hassani, H., 2009. Two new confidence intervals for the coefficient of variation in a normal distribution. Journal of Applied Statistics 36, 429–442.</w:t>
      </w:r>
    </w:p>
    <w:bookmarkEnd w:id="130"/>
    <w:bookmarkStart w:id="13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1"/>
    <w:bookmarkStart w:id="132"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2"/>
    <w:bookmarkStart w:id="133" w:name="ref-mckay1932distribution"/>
    <w:p>
      <w:pPr>
        <w:pStyle w:val="Bibliography"/>
      </w:pPr>
      <w:r>
        <w:t xml:space="preserve">McKay, A., 1932. Distribution of the coefficient of variation and the extended" t" distribution. Journal of the Royal Statistical Society 95, 695–698.</w:t>
      </w:r>
    </w:p>
    <w:bookmarkEnd w:id="133"/>
    <w:bookmarkStart w:id="134" w:name="ref-mesoudi2008cultural"/>
    <w:p>
      <w:pPr>
        <w:pStyle w:val="Bibliography"/>
      </w:pPr>
      <w:r>
        <w:t xml:space="preserve">Mesoudi, A., O’Brien, M.J., 2008. The cultural transmission of great basin projectile-point technology i: An experimental simulation. American Antiquity 3–28.</w:t>
      </w:r>
    </w:p>
    <w:bookmarkEnd w:id="134"/>
    <w:bookmarkStart w:id="136"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35">
        <w:r>
          <w:rPr>
            <w:rStyle w:val="Hyperlink"/>
          </w:rPr>
          <w:t xml:space="preserve">https://doi.org/10.1111/j.0014-3820.2004.tb01568.x</w:t>
        </w:r>
      </w:hyperlink>
    </w:p>
    <w:bookmarkEnd w:id="136"/>
    <w:bookmarkStart w:id="137" w:name="ref-miller1991asymptomatic"/>
    <w:p>
      <w:pPr>
        <w:pStyle w:val="Bibliography"/>
      </w:pPr>
      <w:r>
        <w:t xml:space="preserve">Miller, R., 1991. Asymptomatic test statistics for coefficients of variation. Theor Meth 20, 2251–2262.</w:t>
      </w:r>
    </w:p>
    <w:bookmarkEnd w:id="137"/>
    <w:bookmarkStart w:id="138" w:name="ref-ng2006performance"/>
    <w:p>
      <w:pPr>
        <w:pStyle w:val="Bibliography"/>
      </w:pPr>
      <w:r>
        <w:t xml:space="preserve">Ng, C., 2006. Performance of three methods of interval estimation of the coefficient of variation. InterStat.</w:t>
      </w:r>
    </w:p>
    <w:bookmarkEnd w:id="138"/>
    <w:bookmarkStart w:id="139" w:name="ref-o2017dual"/>
    <w:p>
      <w:pPr>
        <w:pStyle w:val="Bibliography"/>
      </w:pPr>
      <w:r>
        <w:t xml:space="preserve">O’Brien, M.J., Bentley, R.A., 2017. Dual inheritance, cultural transmission, and niche construction. The Handbook of Culture and Biology.</w:t>
      </w:r>
    </w:p>
    <w:bookmarkEnd w:id="139"/>
    <w:bookmarkStart w:id="140" w:name="ref-o2000applying"/>
    <w:p>
      <w:pPr>
        <w:pStyle w:val="Bibliography"/>
      </w:pPr>
      <w:r>
        <w:t xml:space="preserve">O’brien, M.J., Lyman, R.L., 2000. Applying evolutionary archaeology: A systematic approach. Springer Science &amp; Business Media.</w:t>
      </w:r>
    </w:p>
    <w:bookmarkEnd w:id="140"/>
    <w:bookmarkStart w:id="141" w:name="ref-odell1986experiments"/>
    <w:p>
      <w:pPr>
        <w:pStyle w:val="Bibliography"/>
      </w:pPr>
      <w:r>
        <w:t xml:space="preserve">Odell, G.H., Cowan, F., 1986. Experiments with spears and arrows on animal targets. Journal of Field Archaeology 13, 195–212.</w:t>
      </w:r>
    </w:p>
    <w:bookmarkEnd w:id="141"/>
    <w:bookmarkStart w:id="14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2"/>
    <w:bookmarkStart w:id="14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3"/>
    <w:bookmarkStart w:id="144" w:name="ref-panichkitkosolkul2009improved"/>
    <w:p>
      <w:pPr>
        <w:pStyle w:val="Bibliography"/>
      </w:pPr>
      <w:r>
        <w:t xml:space="preserve">Panichkitkosolkul, W., 2009. Improved confidence intervals for a coefficient of variation of a normal distribution. Thailand statistician 7, 193–199.</w:t>
      </w:r>
    </w:p>
    <w:bookmarkEnd w:id="144"/>
    <w:bookmarkStart w:id="145" w:name="ref-Park_2013"/>
    <w:p>
      <w:pPr>
        <w:pStyle w:val="Bibliography"/>
      </w:pPr>
      <w:r>
        <w:t xml:space="preserve">Park, G., 2013. A study on the stemmed points of the late paleolithic in the korean peninsula. Yeongnam Archaeological Review 64, 39–69.</w:t>
      </w:r>
    </w:p>
    <w:bookmarkEnd w:id="145"/>
    <w:bookmarkStart w:id="14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46"/>
    <w:bookmarkStart w:id="14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47"/>
    <w:bookmarkStart w:id="149" w:name="ref-RCoreTeam"/>
    <w:p>
      <w:pPr>
        <w:pStyle w:val="Bibliography"/>
      </w:pPr>
      <w:r>
        <w:t xml:space="preserve">R Core Team, 2022.</w:t>
      </w:r>
      <w:r>
        <w:t xml:space="preserve"> </w:t>
      </w:r>
      <w:hyperlink r:id="rId148">
        <w:r>
          <w:rPr>
            <w:rStyle w:val="Hyperlink"/>
          </w:rPr>
          <w:t xml:space="preserve">R: A language and environment for statistical computing</w:t>
        </w:r>
      </w:hyperlink>
      <w:r>
        <w:t xml:space="preserve">. R Foundation for Statistical Computing, Vienna, Austria.</w:t>
      </w:r>
    </w:p>
    <w:bookmarkEnd w:id="149"/>
    <w:bookmarkStart w:id="150" w:name="ref-richerson2008not"/>
    <w:p>
      <w:pPr>
        <w:pStyle w:val="Bibliography"/>
      </w:pPr>
      <w:r>
        <w:t xml:space="preserve">Richerson, P.J., Boyd, R., 2008. Not by genes alone: How culture transformed human evolution. University of Chicago press.</w:t>
      </w:r>
    </w:p>
    <w:bookmarkEnd w:id="150"/>
    <w:bookmarkStart w:id="151" w:name="ref-richerson1992cultural"/>
    <w:p>
      <w:pPr>
        <w:pStyle w:val="Bibliography"/>
      </w:pPr>
      <w:r>
        <w:t xml:space="preserve">Richerson, P.J., Boyd, R., 1992. Cultural inheritance and evolutionary ecology. Evolutionary ecology and human behavior 61–92.</w:t>
      </w:r>
    </w:p>
    <w:bookmarkEnd w:id="151"/>
    <w:bookmarkStart w:id="152" w:name="ref-riede2010isn"/>
    <w:p>
      <w:pPr>
        <w:pStyle w:val="Bibliography"/>
      </w:pPr>
      <w:r>
        <w:t xml:space="preserve">Riede, F., 2010. Why isn’t archaeology (more) darwinian? A historical perspective. Journal of Evolutionary Psychology 8, 183–204.</w:t>
      </w:r>
    </w:p>
    <w:bookmarkEnd w:id="152"/>
    <w:bookmarkStart w:id="15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53"/>
    <w:bookmarkStart w:id="15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54"/>
    <w:bookmarkStart w:id="155" w:name="ref-schneider2012nih"/>
    <w:p>
      <w:pPr>
        <w:pStyle w:val="Bibliography"/>
      </w:pPr>
      <w:r>
        <w:t xml:space="preserve">Schneider, C.A., Rasband, W.S., Eliceiri, K.W., 2012. NIH image to ImageJ: 25 years of image analysis. Nature methods 9, 671–675.</w:t>
      </w:r>
    </w:p>
    <w:bookmarkEnd w:id="155"/>
    <w:bookmarkStart w:id="156" w:name="ref-seong2015diversity"/>
    <w:p>
      <w:pPr>
        <w:pStyle w:val="Bibliography"/>
      </w:pPr>
      <w:r>
        <w:t xml:space="preserve">Seong, C., 2015. Diversity of lithic assemblages and evolution of late palaeolithic culture in korea. Asian Perspectives 91–112.</w:t>
      </w:r>
    </w:p>
    <w:bookmarkEnd w:id="156"/>
    <w:bookmarkStart w:id="157" w:name="ref-seong2009emergence"/>
    <w:p>
      <w:pPr>
        <w:pStyle w:val="Bibliography"/>
      </w:pPr>
      <w:r>
        <w:t xml:space="preserve">Seong, C., 2009. Emergence of a blade industry and evolution of late paleolithic technology in the republic of korea. Journal of Anthropological Research 65, 417–451.</w:t>
      </w:r>
    </w:p>
    <w:bookmarkEnd w:id="157"/>
    <w:bookmarkStart w:id="158" w:name="ref-seong2008tanged"/>
    <w:p>
      <w:pPr>
        <w:pStyle w:val="Bibliography"/>
      </w:pPr>
      <w:r>
        <w:t xml:space="preserve">Seong, C., 2008. Tanged points, microblades and late palaeolithic hunting in korea. Antiquity 82, 871–883.</w:t>
      </w:r>
    </w:p>
    <w:bookmarkEnd w:id="158"/>
    <w:bookmarkStart w:id="159" w:name="ref-seong2006structure"/>
    <w:p>
      <w:pPr>
        <w:pStyle w:val="Bibliography"/>
      </w:pPr>
      <w:r>
        <w:t xml:space="preserve">Seong, C., 2006. Structure and evolution of late paleolithic assemblages in korea. Journal of the Korean Archaeological Society 59, 4–39.</w:t>
      </w:r>
    </w:p>
    <w:bookmarkEnd w:id="159"/>
    <w:bookmarkStart w:id="160" w:name="ref-sharma1994asymptotic"/>
    <w:p>
      <w:pPr>
        <w:pStyle w:val="Bibliography"/>
      </w:pPr>
      <w:r>
        <w:t xml:space="preserve">Sharma, K., Krishna, H., 1994. Asymptotic sampling distribution of inverse coefficient-of-variation and its applications. IEEE Transactions on Reliability 43, 630–633.</w:t>
      </w:r>
    </w:p>
    <w:bookmarkEnd w:id="160"/>
    <w:bookmarkStart w:id="161" w:name="ref-shea2001experimental"/>
    <w:p>
      <w:pPr>
        <w:pStyle w:val="Bibliography"/>
      </w:pPr>
      <w:r>
        <w:t xml:space="preserve">Shea, J., Davis, Z., Brown, K., 2001. Experimental tests of middle palaeolithic spear points using a calibrated crossbow. Journal of Archaeological Science 28, 807–816.</w:t>
      </w:r>
    </w:p>
    <w:bookmarkEnd w:id="161"/>
    <w:bookmarkStart w:id="16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2"/>
    <w:bookmarkStart w:id="163"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63"/>
    <w:bookmarkStart w:id="164" w:name="ref-Sohn_1967"/>
    <w:p>
      <w:pPr>
        <w:pStyle w:val="Bibliography"/>
      </w:pPr>
      <w:r>
        <w:t xml:space="preserve">Sohn, P., 1967. Seokjang-ri paleolithic culture. Yeoksahakbo 379–397.</w:t>
      </w:r>
    </w:p>
    <w:bookmarkEnd w:id="164"/>
    <w:bookmarkStart w:id="16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65"/>
    <w:bookmarkStart w:id="166" w:name="ref-thulman2012discriminating"/>
    <w:p>
      <w:pPr>
        <w:pStyle w:val="Bibliography"/>
      </w:pPr>
      <w:r>
        <w:t xml:space="preserve">Thulman, D.K., 2012. Discriminating paleoindian point types from florida using landmark geometric morphometrics. Journal of Archaeological Science 39, 1599–1607.</w:t>
      </w:r>
    </w:p>
    <w:bookmarkEnd w:id="166"/>
    <w:bookmarkStart w:id="16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67"/>
    <w:bookmarkStart w:id="168" w:name="ref-vangel1996confidence"/>
    <w:p>
      <w:pPr>
        <w:pStyle w:val="Bibliography"/>
      </w:pPr>
      <w:r>
        <w:t xml:space="preserve">Vangel, M.G., 1996. Confidence intervals for a normal coefficient of variation. The American Statistician 50, 21–26.</w:t>
      </w:r>
    </w:p>
    <w:bookmarkEnd w:id="168"/>
    <w:bookmarkStart w:id="169" w:name="ref-vanpool2011quantitative"/>
    <w:p>
      <w:pPr>
        <w:pStyle w:val="Bibliography"/>
      </w:pPr>
      <w:r>
        <w:t xml:space="preserve">VanPool, T.L., Leonard, R.D., 2011. Quantitative analysis in archaeology. John Wiley &amp; Sons.</w:t>
      </w:r>
    </w:p>
    <w:bookmarkEnd w:id="169"/>
    <w:bookmarkStart w:id="170"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70"/>
    <w:bookmarkStart w:id="172" w:name="ref-Whiten_2017"/>
    <w:p>
      <w:pPr>
        <w:pStyle w:val="Bibliography"/>
      </w:pPr>
      <w:r>
        <w:t xml:space="preserve">Whiten, A., 2017. A second inheritance system: The extension of biology through culture. Interface Focus 7, 20160142.</w:t>
      </w:r>
      <w:r>
        <w:t xml:space="preserve"> </w:t>
      </w:r>
      <w:hyperlink r:id="rId171">
        <w:r>
          <w:rPr>
            <w:rStyle w:val="Hyperlink"/>
          </w:rPr>
          <w:t xml:space="preserve">https://doi.org/10.1098/rsfs.2016.0142</w:t>
        </w:r>
      </w:hyperlink>
    </w:p>
    <w:bookmarkEnd w:id="172"/>
    <w:bookmarkStart w:id="173" w:name="ref-wierer2013variability"/>
    <w:p>
      <w:pPr>
        <w:pStyle w:val="Bibliography"/>
      </w:pPr>
      <w:r>
        <w:t xml:space="preserve">Wierer, U., 2013. Variability and standardization: The early gravettian lithic complex of grotta paglicci, southern italy. Quaternary International 288, 215–238.</w:t>
      </w:r>
    </w:p>
    <w:bookmarkEnd w:id="173"/>
    <w:bookmarkStart w:id="174"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74"/>
    <w:bookmarkStart w:id="175"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75"/>
    <w:bookmarkEnd w:id="176"/>
    <w:p>
      <w:r>
        <w:br w:type="page"/>
      </w:r>
    </w:p>
    <w:bookmarkStart w:id="177" w:name="colophon"/>
    <w:p>
      <w:pPr>
        <w:pStyle w:val="Heading3"/>
      </w:pPr>
      <w:r>
        <w:t xml:space="preserve">Colophon</w:t>
      </w:r>
    </w:p>
    <w:p>
      <w:pPr>
        <w:pStyle w:val="FirstParagraph"/>
      </w:pPr>
      <w:r>
        <w:t xml:space="preserve">This report was generated on 2023-02-23 20:51:01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2023-02-23</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0.2-19  2023-02-01 [?]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rgdal           1.6-4   2023-01-12 [3]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[0ff9cbd] 2023-02-24: editing discussion</w:t>
      </w:r>
    </w:p>
    <w:bookmarkEnd w:id="177"/>
    <w:bookmarkEnd w:id="17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1"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5" Target="https://doi.org/10.1111/j.0014-3820.2004.tb01568.x" TargetMode="External" /><Relationship Type="http://schemas.openxmlformats.org/officeDocument/2006/relationships/hyperlink" Id="rId14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1"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5" Target="https://doi.org/10.1111/j.0014-3820.2004.tb01568.x" TargetMode="External" /><Relationship Type="http://schemas.openxmlformats.org/officeDocument/2006/relationships/hyperlink" Id="rId14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2023-02-24T04:51:05Z</dcterms:created>
  <dcterms:modified xsi:type="dcterms:W3CDTF">2023-02-24T04:51:05Z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investigate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February 23,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